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1453" w:rsidRPr="00761453" w:rsidRDefault="00761453" w:rsidP="00761453">
      <w:pPr>
        <w:rPr>
          <w:rFonts w:ascii="Times New Roman" w:hAnsi="Times New Roman" w:cs="Times New Roman"/>
          <w:b/>
          <w:bCs/>
          <w:sz w:val="24"/>
        </w:rPr>
      </w:pPr>
      <w:r w:rsidRPr="00761453">
        <w:rPr>
          <w:rFonts w:ascii="Times New Roman" w:hAnsi="Times New Roman" w:cs="Times New Roman"/>
          <w:b/>
          <w:bCs/>
          <w:sz w:val="24"/>
        </w:rPr>
        <w:t> CASE 5.2 </w:t>
      </w:r>
      <w:r w:rsidRPr="00761453">
        <w:rPr>
          <w:rFonts w:ascii="Times New Roman" w:hAnsi="Times New Roman" w:cs="Times New Roman"/>
          <w:b/>
          <w:bCs/>
          <w:i/>
          <w:iCs/>
          <w:sz w:val="24"/>
        </w:rPr>
        <w:t>Damages for Negligence:</w:t>
      </w:r>
      <w:r w:rsidRPr="00761453">
        <w:rPr>
          <w:rFonts w:ascii="Times New Roman" w:hAnsi="Times New Roman" w:cs="Times New Roman"/>
          <w:b/>
          <w:bCs/>
          <w:sz w:val="24"/>
        </w:rPr>
        <w:t> Clancy v. Goad</w:t>
      </w:r>
    </w:p>
    <w:p w:rsidR="00761453" w:rsidRPr="00761453" w:rsidRDefault="00761453" w:rsidP="00761453">
      <w:pPr>
        <w:rPr>
          <w:rFonts w:ascii="Times New Roman" w:hAnsi="Times New Roman" w:cs="Times New Roman"/>
          <w:sz w:val="24"/>
        </w:rPr>
      </w:pPr>
      <w:r w:rsidRPr="00761453">
        <w:rPr>
          <w:rFonts w:ascii="Times New Roman" w:hAnsi="Times New Roman" w:cs="Times New Roman"/>
          <w:b/>
          <w:bCs/>
          <w:sz w:val="24"/>
          <w:lang w:val="nl-NL"/>
        </w:rPr>
        <w:t xml:space="preserve">858 N.E.2d 653, Web 2006 </w:t>
      </w:r>
      <w:proofErr w:type="spellStart"/>
      <w:r w:rsidRPr="00761453">
        <w:rPr>
          <w:rFonts w:ascii="Times New Roman" w:hAnsi="Times New Roman" w:cs="Times New Roman"/>
          <w:b/>
          <w:bCs/>
          <w:sz w:val="24"/>
          <w:lang w:val="nl-NL"/>
        </w:rPr>
        <w:t>Ind</w:t>
      </w:r>
      <w:proofErr w:type="spellEnd"/>
      <w:r w:rsidRPr="00761453">
        <w:rPr>
          <w:rFonts w:ascii="Times New Roman" w:hAnsi="Times New Roman" w:cs="Times New Roman"/>
          <w:b/>
          <w:bCs/>
          <w:sz w:val="24"/>
          <w:lang w:val="nl-NL"/>
        </w:rPr>
        <w:t xml:space="preserve">. App. </w:t>
      </w:r>
      <w:r w:rsidRPr="00761453">
        <w:rPr>
          <w:rFonts w:ascii="Times New Roman" w:hAnsi="Times New Roman" w:cs="Times New Roman"/>
          <w:b/>
          <w:bCs/>
          <w:sz w:val="24"/>
        </w:rPr>
        <w:t>Lexis 2576 (2006) Court of Appeals of Indiana</w:t>
      </w:r>
    </w:p>
    <w:p w:rsidR="00761453" w:rsidRPr="00761453" w:rsidRDefault="00761453" w:rsidP="00761453">
      <w:pPr>
        <w:rPr>
          <w:rFonts w:ascii="Times New Roman" w:hAnsi="Times New Roman" w:cs="Times New Roman"/>
          <w:sz w:val="24"/>
        </w:rPr>
      </w:pPr>
      <w:r w:rsidRPr="00761453">
        <w:rPr>
          <w:rFonts w:ascii="Times New Roman" w:hAnsi="Times New Roman" w:cs="Times New Roman"/>
          <w:b/>
          <w:bCs/>
          <w:sz w:val="24"/>
        </w:rPr>
        <w:t>“Although the amount of the award in this case is sizeable, we cannot conclude that it is unreasonable given the evidence.”</w:t>
      </w:r>
    </w:p>
    <w:p w:rsidR="00761453" w:rsidRPr="00761453" w:rsidRDefault="00761453" w:rsidP="00761453">
      <w:pPr>
        <w:rPr>
          <w:rFonts w:ascii="Times New Roman" w:hAnsi="Times New Roman" w:cs="Times New Roman"/>
          <w:sz w:val="24"/>
        </w:rPr>
      </w:pPr>
      <w:r w:rsidRPr="00761453">
        <w:rPr>
          <w:rFonts w:ascii="Times New Roman" w:hAnsi="Times New Roman" w:cs="Times New Roman"/>
          <w:sz w:val="24"/>
        </w:rPr>
        <w:t>—</w:t>
      </w:r>
      <w:proofErr w:type="spellStart"/>
      <w:r w:rsidRPr="00761453">
        <w:rPr>
          <w:rFonts w:ascii="Times New Roman" w:hAnsi="Times New Roman" w:cs="Times New Roman"/>
          <w:sz w:val="24"/>
        </w:rPr>
        <w:t>Vaidik</w:t>
      </w:r>
      <w:proofErr w:type="spellEnd"/>
      <w:r w:rsidRPr="00761453">
        <w:rPr>
          <w:rFonts w:ascii="Times New Roman" w:hAnsi="Times New Roman" w:cs="Times New Roman"/>
          <w:sz w:val="24"/>
        </w:rPr>
        <w:t>, Judge</w:t>
      </w:r>
    </w:p>
    <w:p w:rsidR="00761453" w:rsidRPr="00761453" w:rsidRDefault="00761453" w:rsidP="00761453">
      <w:pPr>
        <w:rPr>
          <w:rFonts w:ascii="Times New Roman" w:hAnsi="Times New Roman" w:cs="Times New Roman"/>
          <w:sz w:val="24"/>
        </w:rPr>
      </w:pPr>
      <w:r w:rsidRPr="00761453">
        <w:rPr>
          <w:rFonts w:ascii="Times New Roman" w:hAnsi="Times New Roman" w:cs="Times New Roman"/>
          <w:b/>
          <w:bCs/>
          <w:sz w:val="24"/>
        </w:rPr>
        <w:t>Facts</w:t>
      </w:r>
    </w:p>
    <w:p w:rsidR="00761453" w:rsidRPr="00761453" w:rsidRDefault="00761453" w:rsidP="00761453">
      <w:pPr>
        <w:rPr>
          <w:rFonts w:ascii="Times New Roman" w:hAnsi="Times New Roman" w:cs="Times New Roman"/>
          <w:sz w:val="24"/>
        </w:rPr>
      </w:pPr>
      <w:r w:rsidRPr="00761453">
        <w:rPr>
          <w:rFonts w:ascii="Times New Roman" w:hAnsi="Times New Roman" w:cs="Times New Roman"/>
          <w:sz w:val="24"/>
        </w:rPr>
        <w:t>One morning, after working at night, Tim Clancy was driving a Chevrolet S-10 pickup truck on State Road 231. Clancy fell asleep at the wheel of the truck. Robert and Dianna Goad, husband and wife, were riding separate motorcycles on the other side of the road. Clancy’s truck crossed the center line of the road and collided with Dianna’s motorcycle. The collision immediately severed Dianna’s leg above the knee, and she was thrown from her motorcycle into a water-filled ditch at the side of the road. Clancy was awakened by the sound of the impact, and the truck veered into the ditch as well. Robert stopped his motorcycle, ran back to the scene of the accident, and held Dianna’s head out of the water-filled ditch. Clancy called 911, and when the paramedics arrived, she was taken to the hospital. Dianna remained in a coma for two weeks. Her leg had to be amputated. In addition, Dianna suffered from a fractured pelvic bone, a fractured left elbow, and a lacerated spleen, which had to be removed. Dianna sued Clancy to recover damages based on his negligence. The jury returned a verdict finding Clancy 100 percent at fault for the accident and awarded Dianna $10 million in compensatory damages. Clancy appealed, arguing that the damages were excessive.</w:t>
      </w:r>
    </w:p>
    <w:p w:rsidR="00761453" w:rsidRPr="00761453" w:rsidRDefault="00761453" w:rsidP="00761453">
      <w:pPr>
        <w:rPr>
          <w:rFonts w:ascii="Times New Roman" w:hAnsi="Times New Roman" w:cs="Times New Roman"/>
          <w:sz w:val="24"/>
        </w:rPr>
      </w:pPr>
      <w:r w:rsidRPr="00761453">
        <w:rPr>
          <w:rFonts w:ascii="Times New Roman" w:hAnsi="Times New Roman" w:cs="Times New Roman"/>
          <w:b/>
          <w:bCs/>
          <w:sz w:val="24"/>
        </w:rPr>
        <w:t>Issue</w:t>
      </w:r>
    </w:p>
    <w:p w:rsidR="00761453" w:rsidRPr="00761453" w:rsidRDefault="00761453" w:rsidP="00761453">
      <w:pPr>
        <w:rPr>
          <w:rFonts w:ascii="Times New Roman" w:hAnsi="Times New Roman" w:cs="Times New Roman"/>
          <w:sz w:val="24"/>
        </w:rPr>
      </w:pPr>
      <w:r w:rsidRPr="00761453">
        <w:rPr>
          <w:rFonts w:ascii="Times New Roman" w:hAnsi="Times New Roman" w:cs="Times New Roman"/>
          <w:sz w:val="24"/>
        </w:rPr>
        <w:t>Were the damages awarded to Dianna Goad excessive?</w:t>
      </w:r>
    </w:p>
    <w:p w:rsidR="00761453" w:rsidRPr="00761453" w:rsidRDefault="00761453" w:rsidP="00761453">
      <w:pPr>
        <w:rPr>
          <w:rFonts w:ascii="Times New Roman" w:hAnsi="Times New Roman" w:cs="Times New Roman"/>
          <w:sz w:val="24"/>
        </w:rPr>
      </w:pPr>
      <w:r w:rsidRPr="00761453">
        <w:rPr>
          <w:rFonts w:ascii="Times New Roman" w:hAnsi="Times New Roman" w:cs="Times New Roman"/>
          <w:b/>
          <w:bCs/>
          <w:sz w:val="24"/>
        </w:rPr>
        <w:t>Language of the Court</w:t>
      </w:r>
    </w:p>
    <w:p w:rsidR="00761453" w:rsidRPr="00761453" w:rsidRDefault="00761453" w:rsidP="00761453">
      <w:pPr>
        <w:rPr>
          <w:rFonts w:ascii="Times New Roman" w:hAnsi="Times New Roman" w:cs="Times New Roman"/>
          <w:sz w:val="24"/>
        </w:rPr>
      </w:pPr>
      <w:r w:rsidRPr="00761453">
        <w:rPr>
          <w:rFonts w:ascii="Times New Roman" w:hAnsi="Times New Roman" w:cs="Times New Roman"/>
          <w:iCs/>
          <w:sz w:val="24"/>
        </w:rPr>
        <w:t>The record indicates that before the accident, Dianna was an active and athletic person. She was an avid runner, often jogging three-and-a-half miles a day. She belonged to a health club where she regularly trained with free weights. Dianna enjoyed rollerblading, hiking, and cross country skiing. Dianna also worked full-time in a managerial accounting position where she planned to work until she retired.</w:t>
      </w:r>
    </w:p>
    <w:p w:rsidR="00761453" w:rsidRPr="00761453" w:rsidRDefault="00761453" w:rsidP="00761453">
      <w:pPr>
        <w:rPr>
          <w:rFonts w:ascii="Times New Roman" w:hAnsi="Times New Roman" w:cs="Times New Roman"/>
          <w:sz w:val="24"/>
        </w:rPr>
      </w:pPr>
      <w:r w:rsidRPr="00761453">
        <w:rPr>
          <w:rFonts w:ascii="Times New Roman" w:hAnsi="Times New Roman" w:cs="Times New Roman"/>
          <w:iCs/>
          <w:sz w:val="24"/>
        </w:rPr>
        <w:t>The injuries Dianna received in the accident as a result of Clancy’s accident were catastrophic. She spent two weeks in a coma. Surgeries were performed to medically amputate her leg above the knee and to set her broken pelvic bones and her broken elbow. Dianna’s spleen could not be repaired and was inevitably removed, resulting in an increased lifetime risk of infection. Dianna has endured multiple skin graft procedures. At the time of the trial, Dianna had undergone seven surgeries, taken more than 6,800 pills, and her medical expenses totaled more than $368,000. Furthermore, Dianna’s medical expenses and challenges continue and are expected to continue indefinitely. In addition, Dianna has been fitted with a “C-leg,” a computerized prosthetic leg. A C-leg needs to be replaced every three to five years at full cost. The trial court took judicial notice that Dianna’s life expectancy is 35.4 years.</w:t>
      </w:r>
    </w:p>
    <w:p w:rsidR="00761453" w:rsidRPr="00761453" w:rsidRDefault="00761453" w:rsidP="00761453">
      <w:pPr>
        <w:rPr>
          <w:rFonts w:ascii="Times New Roman" w:hAnsi="Times New Roman" w:cs="Times New Roman"/>
          <w:sz w:val="24"/>
        </w:rPr>
      </w:pPr>
      <w:r w:rsidRPr="00761453">
        <w:rPr>
          <w:rFonts w:ascii="Times New Roman" w:hAnsi="Times New Roman" w:cs="Times New Roman"/>
          <w:iCs/>
          <w:sz w:val="24"/>
        </w:rPr>
        <w:lastRenderedPageBreak/>
        <w:t>We see no tangible indication that the jury acted out of prejudice, passion, or partiality to punish Clancy. Although the amount of the award in this case is sizeable, we cannot conclude that it is unreasonable given the evidence.</w:t>
      </w:r>
    </w:p>
    <w:p w:rsidR="00761453" w:rsidRPr="00761453" w:rsidRDefault="00761453" w:rsidP="00761453">
      <w:pPr>
        <w:rPr>
          <w:rFonts w:ascii="Times New Roman" w:hAnsi="Times New Roman" w:cs="Times New Roman"/>
          <w:sz w:val="24"/>
        </w:rPr>
      </w:pPr>
      <w:r w:rsidRPr="00761453">
        <w:rPr>
          <w:rFonts w:ascii="Times New Roman" w:hAnsi="Times New Roman" w:cs="Times New Roman"/>
          <w:b/>
          <w:bCs/>
          <w:sz w:val="24"/>
        </w:rPr>
        <w:t>Decision</w:t>
      </w:r>
    </w:p>
    <w:p w:rsidR="00761453" w:rsidRPr="00761453" w:rsidRDefault="00761453" w:rsidP="00761453">
      <w:pPr>
        <w:rPr>
          <w:rFonts w:ascii="Times New Roman" w:hAnsi="Times New Roman" w:cs="Times New Roman"/>
          <w:sz w:val="24"/>
        </w:rPr>
      </w:pPr>
      <w:r w:rsidRPr="00761453">
        <w:rPr>
          <w:rFonts w:ascii="Times New Roman" w:hAnsi="Times New Roman" w:cs="Times New Roman"/>
          <w:sz w:val="24"/>
        </w:rPr>
        <w:t>The court of appeals affirmed the judgment of the trial court finding Clancy liable for negligence and upheld the jury verdict awarding Dianna $10 million in damages.</w:t>
      </w:r>
    </w:p>
    <w:p w:rsidR="00761453" w:rsidRPr="00761453" w:rsidRDefault="00761453" w:rsidP="00761453">
      <w:pPr>
        <w:rPr>
          <w:rFonts w:ascii="Times New Roman" w:hAnsi="Times New Roman" w:cs="Times New Roman"/>
          <w:sz w:val="24"/>
        </w:rPr>
      </w:pPr>
      <w:r w:rsidRPr="00761453">
        <w:rPr>
          <w:rFonts w:ascii="Times New Roman" w:hAnsi="Times New Roman" w:cs="Times New Roman"/>
          <w:b/>
          <w:bCs/>
          <w:sz w:val="24"/>
        </w:rPr>
        <w:t>Case Questions</w:t>
      </w:r>
    </w:p>
    <w:p w:rsidR="00761453" w:rsidRPr="00761453" w:rsidRDefault="00761453" w:rsidP="00761453">
      <w:pPr>
        <w:rPr>
          <w:rFonts w:ascii="Times New Roman" w:hAnsi="Times New Roman" w:cs="Times New Roman"/>
          <w:sz w:val="24"/>
        </w:rPr>
      </w:pPr>
      <w:r w:rsidRPr="00761453">
        <w:rPr>
          <w:rFonts w:ascii="Times New Roman" w:hAnsi="Times New Roman" w:cs="Times New Roman"/>
          <w:b/>
          <w:bCs/>
          <w:sz w:val="24"/>
        </w:rPr>
        <w:t>Critical Legal Thinking</w:t>
      </w:r>
    </w:p>
    <w:p w:rsidR="00761453" w:rsidRPr="00761453" w:rsidRDefault="00761453" w:rsidP="00761453">
      <w:pPr>
        <w:rPr>
          <w:rFonts w:ascii="Times New Roman" w:hAnsi="Times New Roman" w:cs="Times New Roman"/>
          <w:sz w:val="24"/>
        </w:rPr>
      </w:pPr>
      <w:r w:rsidRPr="00761453">
        <w:rPr>
          <w:rFonts w:ascii="Times New Roman" w:hAnsi="Times New Roman" w:cs="Times New Roman"/>
          <w:sz w:val="24"/>
        </w:rPr>
        <w:t>Was Clancy liable for negligence in this case? What is negligence?</w:t>
      </w:r>
    </w:p>
    <w:p w:rsidR="00761453" w:rsidRPr="00761453" w:rsidRDefault="00761453" w:rsidP="00761453">
      <w:pPr>
        <w:rPr>
          <w:rFonts w:ascii="Times New Roman" w:hAnsi="Times New Roman" w:cs="Times New Roman"/>
          <w:sz w:val="24"/>
        </w:rPr>
      </w:pPr>
      <w:r w:rsidRPr="00761453">
        <w:rPr>
          <w:rFonts w:ascii="Times New Roman" w:hAnsi="Times New Roman" w:cs="Times New Roman"/>
          <w:b/>
          <w:bCs/>
          <w:sz w:val="24"/>
        </w:rPr>
        <w:t>Ethics</w:t>
      </w:r>
    </w:p>
    <w:p w:rsidR="00761453" w:rsidRPr="00761453" w:rsidRDefault="00761453" w:rsidP="00761453">
      <w:pPr>
        <w:rPr>
          <w:rFonts w:ascii="Times New Roman" w:hAnsi="Times New Roman" w:cs="Times New Roman"/>
          <w:sz w:val="24"/>
        </w:rPr>
      </w:pPr>
      <w:r w:rsidRPr="00761453">
        <w:rPr>
          <w:rFonts w:ascii="Times New Roman" w:hAnsi="Times New Roman" w:cs="Times New Roman"/>
          <w:sz w:val="24"/>
        </w:rPr>
        <w:t>Was it ethical for defendant Clancy to appeal the damage award in this case? Why or why not?</w:t>
      </w:r>
    </w:p>
    <w:p w:rsidR="00761453" w:rsidRPr="00761453" w:rsidRDefault="00761453" w:rsidP="00761453">
      <w:pPr>
        <w:rPr>
          <w:rFonts w:ascii="Times New Roman" w:hAnsi="Times New Roman" w:cs="Times New Roman"/>
          <w:sz w:val="24"/>
        </w:rPr>
      </w:pPr>
      <w:r w:rsidRPr="00761453">
        <w:rPr>
          <w:rFonts w:ascii="Times New Roman" w:hAnsi="Times New Roman" w:cs="Times New Roman"/>
          <w:b/>
          <w:bCs/>
          <w:sz w:val="24"/>
        </w:rPr>
        <w:t>Contemporary Business</w:t>
      </w:r>
    </w:p>
    <w:p w:rsidR="00761453" w:rsidRPr="00761453" w:rsidRDefault="00761453" w:rsidP="00761453">
      <w:pPr>
        <w:rPr>
          <w:rFonts w:ascii="Times New Roman" w:hAnsi="Times New Roman" w:cs="Times New Roman"/>
          <w:sz w:val="24"/>
        </w:rPr>
      </w:pPr>
      <w:r w:rsidRPr="00761453">
        <w:rPr>
          <w:rFonts w:ascii="Times New Roman" w:hAnsi="Times New Roman" w:cs="Times New Roman"/>
          <w:sz w:val="24"/>
        </w:rPr>
        <w:t>Was the award of $10 million to plaintiff Dianna Goad reasonable? Would you have awarded these damages? Or would you have awarded more or less?</w:t>
      </w:r>
    </w:p>
    <w:p w:rsidR="00045812" w:rsidRDefault="00761453">
      <w:pPr>
        <w:rPr>
          <w:rFonts w:ascii="Times New Roman" w:hAnsi="Times New Roman" w:cs="Times New Roman"/>
          <w:sz w:val="24"/>
        </w:rPr>
      </w:pPr>
    </w:p>
    <w:p w:rsidR="00761453" w:rsidRPr="00761453" w:rsidRDefault="00761453" w:rsidP="00761453">
      <w:pPr>
        <w:rPr>
          <w:rFonts w:ascii="Times New Roman" w:hAnsi="Times New Roman" w:cs="Times New Roman"/>
          <w:sz w:val="24"/>
        </w:rPr>
      </w:pPr>
      <w:r w:rsidRPr="00761453">
        <w:rPr>
          <w:rFonts w:ascii="Times New Roman" w:hAnsi="Times New Roman" w:cs="Times New Roman"/>
          <w:sz w:val="24"/>
        </w:rPr>
        <w:br/>
      </w:r>
    </w:p>
    <w:p w:rsidR="00761453" w:rsidRPr="00761453" w:rsidRDefault="00761453" w:rsidP="00761453">
      <w:pPr>
        <w:rPr>
          <w:rFonts w:ascii="Times New Roman" w:hAnsi="Times New Roman" w:cs="Times New Roman"/>
          <w:b/>
          <w:bCs/>
          <w:sz w:val="24"/>
        </w:rPr>
      </w:pPr>
      <w:r w:rsidRPr="00761453">
        <w:rPr>
          <w:rFonts w:ascii="Times New Roman" w:hAnsi="Times New Roman" w:cs="Times New Roman"/>
          <w:b/>
          <w:bCs/>
          <w:sz w:val="24"/>
        </w:rPr>
        <w:t>Critical Legal Thinking Cases</w:t>
      </w:r>
    </w:p>
    <w:p w:rsidR="00761453" w:rsidRPr="00761453" w:rsidRDefault="00761453" w:rsidP="00761453">
      <w:pPr>
        <w:rPr>
          <w:rFonts w:ascii="Times New Roman" w:hAnsi="Times New Roman" w:cs="Times New Roman"/>
          <w:sz w:val="24"/>
        </w:rPr>
      </w:pPr>
      <w:r w:rsidRPr="00761453">
        <w:rPr>
          <w:rFonts w:ascii="Times New Roman" w:hAnsi="Times New Roman" w:cs="Times New Roman"/>
          <w:b/>
          <w:bCs/>
          <w:sz w:val="24"/>
        </w:rPr>
        <w:t>6.1 Strict Liability</w:t>
      </w:r>
      <w:r w:rsidRPr="00761453">
        <w:rPr>
          <w:rFonts w:ascii="Times New Roman" w:hAnsi="Times New Roman" w:cs="Times New Roman"/>
          <w:sz w:val="24"/>
        </w:rPr>
        <w:t> </w:t>
      </w:r>
      <w:proofErr w:type="spellStart"/>
      <w:r w:rsidRPr="00761453">
        <w:rPr>
          <w:rFonts w:ascii="Times New Roman" w:hAnsi="Times New Roman" w:cs="Times New Roman"/>
          <w:sz w:val="24"/>
        </w:rPr>
        <w:t>Senco</w:t>
      </w:r>
      <w:proofErr w:type="spellEnd"/>
      <w:r w:rsidRPr="00761453">
        <w:rPr>
          <w:rFonts w:ascii="Times New Roman" w:hAnsi="Times New Roman" w:cs="Times New Roman"/>
          <w:sz w:val="24"/>
        </w:rPr>
        <w:t xml:space="preserve"> Products, Inc. (</w:t>
      </w:r>
      <w:proofErr w:type="spellStart"/>
      <w:r w:rsidRPr="00761453">
        <w:rPr>
          <w:rFonts w:ascii="Times New Roman" w:hAnsi="Times New Roman" w:cs="Times New Roman"/>
          <w:sz w:val="24"/>
        </w:rPr>
        <w:t>Senco</w:t>
      </w:r>
      <w:proofErr w:type="spellEnd"/>
      <w:r w:rsidRPr="00761453">
        <w:rPr>
          <w:rFonts w:ascii="Times New Roman" w:hAnsi="Times New Roman" w:cs="Times New Roman"/>
          <w:sz w:val="24"/>
        </w:rPr>
        <w:t xml:space="preserve">), manufactures and markets a variety of pneumatic nail guns, including the SN325 nail gun, which discharges 3.25-inch nails. The SN325 uses special nails designed and sold by </w:t>
      </w:r>
      <w:proofErr w:type="spellStart"/>
      <w:r w:rsidRPr="00761453">
        <w:rPr>
          <w:rFonts w:ascii="Times New Roman" w:hAnsi="Times New Roman" w:cs="Times New Roman"/>
          <w:sz w:val="24"/>
        </w:rPr>
        <w:t>Senco</w:t>
      </w:r>
      <w:proofErr w:type="spellEnd"/>
      <w:r w:rsidRPr="00761453">
        <w:rPr>
          <w:rFonts w:ascii="Times New Roman" w:hAnsi="Times New Roman" w:cs="Times New Roman"/>
          <w:sz w:val="24"/>
        </w:rPr>
        <w:t>. The SN325 will discharge a nail only if two trigger mechanisms are activated; that is, the user must both squeeze the nail gun’s finger trigger and press the nail gun’s muzzle against a surface, activating the bottom trigger, or safety. The SN325 can fire up to nine nails per second if the trigger is continuously depressed and the gun is bounced along the work surface, constantly reactivating the muzzle safety/trigger.</w:t>
      </w:r>
    </w:p>
    <w:p w:rsidR="00761453" w:rsidRPr="00761453" w:rsidRDefault="00761453" w:rsidP="00761453">
      <w:pPr>
        <w:rPr>
          <w:rFonts w:ascii="Times New Roman" w:hAnsi="Times New Roman" w:cs="Times New Roman"/>
          <w:sz w:val="24"/>
        </w:rPr>
      </w:pPr>
      <w:r w:rsidRPr="00761453">
        <w:rPr>
          <w:rFonts w:ascii="Times New Roman" w:hAnsi="Times New Roman" w:cs="Times New Roman"/>
          <w:sz w:val="24"/>
        </w:rPr>
        <w:t xml:space="preserve">The evidence disclosed that the SN325 double-fired once in every 15 firings. </w:t>
      </w:r>
      <w:proofErr w:type="spellStart"/>
      <w:r w:rsidRPr="00761453">
        <w:rPr>
          <w:rFonts w:ascii="Times New Roman" w:hAnsi="Times New Roman" w:cs="Times New Roman"/>
          <w:sz w:val="24"/>
        </w:rPr>
        <w:t>Senco</w:t>
      </w:r>
      <w:proofErr w:type="spellEnd"/>
      <w:r w:rsidRPr="00761453">
        <w:rPr>
          <w:rFonts w:ascii="Times New Roman" w:hAnsi="Times New Roman" w:cs="Times New Roman"/>
          <w:sz w:val="24"/>
        </w:rPr>
        <w:t xml:space="preserve"> rushed the SN325’s production in order to maintain its position in the market, modifying an existing nail gun model so that the SN325 could shoot longer nails, without engaging in additional testing to determine whether the use of longer nails in that model would increase the prevalence of double-fire.</w:t>
      </w:r>
    </w:p>
    <w:p w:rsidR="00761453" w:rsidRPr="00761453" w:rsidRDefault="00761453" w:rsidP="00761453">
      <w:pPr>
        <w:rPr>
          <w:rFonts w:ascii="Times New Roman" w:hAnsi="Times New Roman" w:cs="Times New Roman"/>
          <w:sz w:val="24"/>
        </w:rPr>
      </w:pPr>
      <w:r w:rsidRPr="00761453">
        <w:rPr>
          <w:rFonts w:ascii="Times New Roman" w:hAnsi="Times New Roman" w:cs="Times New Roman"/>
          <w:sz w:val="24"/>
        </w:rPr>
        <w:t xml:space="preserve">John </w:t>
      </w:r>
      <w:proofErr w:type="spellStart"/>
      <w:r w:rsidRPr="00761453">
        <w:rPr>
          <w:rFonts w:ascii="Times New Roman" w:hAnsi="Times New Roman" w:cs="Times New Roman"/>
          <w:sz w:val="24"/>
        </w:rPr>
        <w:t>Lakin</w:t>
      </w:r>
      <w:proofErr w:type="spellEnd"/>
      <w:r w:rsidRPr="00761453">
        <w:rPr>
          <w:rFonts w:ascii="Times New Roman" w:hAnsi="Times New Roman" w:cs="Times New Roman"/>
          <w:sz w:val="24"/>
        </w:rPr>
        <w:t xml:space="preserve"> was using a </w:t>
      </w:r>
      <w:proofErr w:type="spellStart"/>
      <w:r w:rsidRPr="00761453">
        <w:rPr>
          <w:rFonts w:ascii="Times New Roman" w:hAnsi="Times New Roman" w:cs="Times New Roman"/>
          <w:sz w:val="24"/>
        </w:rPr>
        <w:t>Senco</w:t>
      </w:r>
      <w:proofErr w:type="spellEnd"/>
      <w:r w:rsidRPr="00761453">
        <w:rPr>
          <w:rFonts w:ascii="Times New Roman" w:hAnsi="Times New Roman" w:cs="Times New Roman"/>
          <w:sz w:val="24"/>
        </w:rPr>
        <w:t xml:space="preserve"> SN325 nail gun to help build a new home. When attempting to nail two-by-fours under the eaves of his garage, </w:t>
      </w:r>
      <w:proofErr w:type="spellStart"/>
      <w:r w:rsidRPr="00761453">
        <w:rPr>
          <w:rFonts w:ascii="Times New Roman" w:hAnsi="Times New Roman" w:cs="Times New Roman"/>
          <w:sz w:val="24"/>
        </w:rPr>
        <w:t>Lakin</w:t>
      </w:r>
      <w:proofErr w:type="spellEnd"/>
      <w:r w:rsidRPr="00761453">
        <w:rPr>
          <w:rFonts w:ascii="Times New Roman" w:hAnsi="Times New Roman" w:cs="Times New Roman"/>
          <w:sz w:val="24"/>
        </w:rPr>
        <w:t xml:space="preserve"> stood on tiptoe and raised a two-by-four over his head. As he held the board in position with his left hand and the nail gun in his right hand, he pressed the nose of the SN325 up against the board, depressed the safety, and pulled the finger trigger to fire the nail into the board. The gun fired the first nail and then double-fired, </w:t>
      </w:r>
      <w:r w:rsidRPr="00761453">
        <w:rPr>
          <w:rFonts w:ascii="Times New Roman" w:hAnsi="Times New Roman" w:cs="Times New Roman"/>
          <w:sz w:val="24"/>
        </w:rPr>
        <w:lastRenderedPageBreak/>
        <w:t xml:space="preserve">immediately discharging an unintended second nail that struck the first nail. The gun recoiled violently backward toward </w:t>
      </w:r>
      <w:proofErr w:type="spellStart"/>
      <w:r w:rsidRPr="00761453">
        <w:rPr>
          <w:rFonts w:ascii="Times New Roman" w:hAnsi="Times New Roman" w:cs="Times New Roman"/>
          <w:sz w:val="24"/>
        </w:rPr>
        <w:t>Lakin</w:t>
      </w:r>
      <w:proofErr w:type="spellEnd"/>
      <w:r w:rsidRPr="00761453">
        <w:rPr>
          <w:rFonts w:ascii="Times New Roman" w:hAnsi="Times New Roman" w:cs="Times New Roman"/>
          <w:sz w:val="24"/>
        </w:rPr>
        <w:t xml:space="preserve"> and, with </w:t>
      </w:r>
      <w:proofErr w:type="spellStart"/>
      <w:r w:rsidRPr="00761453">
        <w:rPr>
          <w:rFonts w:ascii="Times New Roman" w:hAnsi="Times New Roman" w:cs="Times New Roman"/>
          <w:sz w:val="24"/>
        </w:rPr>
        <w:t>Lakin’s</w:t>
      </w:r>
      <w:proofErr w:type="spellEnd"/>
      <w:r w:rsidRPr="00761453">
        <w:rPr>
          <w:rFonts w:ascii="Times New Roman" w:hAnsi="Times New Roman" w:cs="Times New Roman"/>
          <w:sz w:val="24"/>
        </w:rPr>
        <w:t xml:space="preserve"> finger still on the trigger, came into contact with his cheek. That contact activated the safety/trigger, causing the nail gun to fire a third nail. This third nail went through </w:t>
      </w:r>
      <w:proofErr w:type="spellStart"/>
      <w:r w:rsidRPr="00761453">
        <w:rPr>
          <w:rFonts w:ascii="Times New Roman" w:hAnsi="Times New Roman" w:cs="Times New Roman"/>
          <w:sz w:val="24"/>
        </w:rPr>
        <w:t>Lakin’s</w:t>
      </w:r>
      <w:proofErr w:type="spellEnd"/>
      <w:r w:rsidRPr="00761453">
        <w:rPr>
          <w:rFonts w:ascii="Times New Roman" w:hAnsi="Times New Roman" w:cs="Times New Roman"/>
          <w:sz w:val="24"/>
        </w:rPr>
        <w:t xml:space="preserve"> cheekbone and into his brain.</w:t>
      </w:r>
    </w:p>
    <w:p w:rsidR="00761453" w:rsidRPr="00761453" w:rsidRDefault="00761453" w:rsidP="00761453">
      <w:pPr>
        <w:rPr>
          <w:rFonts w:ascii="Times New Roman" w:hAnsi="Times New Roman" w:cs="Times New Roman"/>
          <w:sz w:val="24"/>
        </w:rPr>
      </w:pPr>
      <w:r w:rsidRPr="00761453">
        <w:rPr>
          <w:rFonts w:ascii="Times New Roman" w:hAnsi="Times New Roman" w:cs="Times New Roman"/>
          <w:sz w:val="24"/>
        </w:rPr>
        <w:t xml:space="preserve">The nail penetrated the frontal lobe of the right hemisphere of </w:t>
      </w:r>
      <w:proofErr w:type="spellStart"/>
      <w:r w:rsidRPr="00761453">
        <w:rPr>
          <w:rFonts w:ascii="Times New Roman" w:hAnsi="Times New Roman" w:cs="Times New Roman"/>
          <w:sz w:val="24"/>
        </w:rPr>
        <w:t>Lakin’s</w:t>
      </w:r>
      <w:proofErr w:type="spellEnd"/>
      <w:r w:rsidRPr="00761453">
        <w:rPr>
          <w:rFonts w:ascii="Times New Roman" w:hAnsi="Times New Roman" w:cs="Times New Roman"/>
          <w:sz w:val="24"/>
        </w:rPr>
        <w:t xml:space="preserve"> brain, blocked a major artery, and caused extensive tissue damage. </w:t>
      </w:r>
      <w:proofErr w:type="spellStart"/>
      <w:r w:rsidRPr="00761453">
        <w:rPr>
          <w:rFonts w:ascii="Times New Roman" w:hAnsi="Times New Roman" w:cs="Times New Roman"/>
          <w:sz w:val="24"/>
        </w:rPr>
        <w:t>Lakin</w:t>
      </w:r>
      <w:proofErr w:type="spellEnd"/>
      <w:r w:rsidRPr="00761453">
        <w:rPr>
          <w:rFonts w:ascii="Times New Roman" w:hAnsi="Times New Roman" w:cs="Times New Roman"/>
          <w:sz w:val="24"/>
        </w:rPr>
        <w:t xml:space="preserve"> was unconscious for several days and ultimately underwent multiple surgeries. He suffers permanent brain damage and is unable to perceive information from the left hemisphere of the brain. He also suffers partial paralysis of the left side of his body. </w:t>
      </w:r>
      <w:proofErr w:type="spellStart"/>
      <w:r w:rsidRPr="00761453">
        <w:rPr>
          <w:rFonts w:ascii="Times New Roman" w:hAnsi="Times New Roman" w:cs="Times New Roman"/>
          <w:sz w:val="24"/>
        </w:rPr>
        <w:t>Lakin</w:t>
      </w:r>
      <w:proofErr w:type="spellEnd"/>
      <w:r w:rsidRPr="00761453">
        <w:rPr>
          <w:rFonts w:ascii="Times New Roman" w:hAnsi="Times New Roman" w:cs="Times New Roman"/>
          <w:sz w:val="24"/>
        </w:rPr>
        <w:t xml:space="preserve"> has undergone a radical personality change and is prone to violent outbursts. He is unable to obtain employment. </w:t>
      </w:r>
      <w:proofErr w:type="spellStart"/>
      <w:r w:rsidRPr="00761453">
        <w:rPr>
          <w:rFonts w:ascii="Times New Roman" w:hAnsi="Times New Roman" w:cs="Times New Roman"/>
          <w:sz w:val="24"/>
        </w:rPr>
        <w:t>Lakin’s</w:t>
      </w:r>
      <w:proofErr w:type="spellEnd"/>
      <w:r w:rsidRPr="00761453">
        <w:rPr>
          <w:rFonts w:ascii="Times New Roman" w:hAnsi="Times New Roman" w:cs="Times New Roman"/>
          <w:sz w:val="24"/>
        </w:rPr>
        <w:t xml:space="preserve"> previously warm and loving relationship with his wife and four children has been permanently altered. He can no longer live with his family and instead resides in a supervised group home for brain-injured persons. </w:t>
      </w:r>
      <w:proofErr w:type="spellStart"/>
      <w:r w:rsidRPr="00761453">
        <w:rPr>
          <w:rFonts w:ascii="Times New Roman" w:hAnsi="Times New Roman" w:cs="Times New Roman"/>
          <w:sz w:val="24"/>
        </w:rPr>
        <w:t>Lakin</w:t>
      </w:r>
      <w:proofErr w:type="spellEnd"/>
      <w:r w:rsidRPr="00761453">
        <w:rPr>
          <w:rFonts w:ascii="Times New Roman" w:hAnsi="Times New Roman" w:cs="Times New Roman"/>
          <w:sz w:val="24"/>
        </w:rPr>
        <w:t xml:space="preserve"> and his wife sued </w:t>
      </w:r>
      <w:proofErr w:type="spellStart"/>
      <w:r w:rsidRPr="00761453">
        <w:rPr>
          <w:rFonts w:ascii="Times New Roman" w:hAnsi="Times New Roman" w:cs="Times New Roman"/>
          <w:sz w:val="24"/>
        </w:rPr>
        <w:t>Senco</w:t>
      </w:r>
      <w:proofErr w:type="spellEnd"/>
      <w:r w:rsidRPr="00761453">
        <w:rPr>
          <w:rFonts w:ascii="Times New Roman" w:hAnsi="Times New Roman" w:cs="Times New Roman"/>
          <w:sz w:val="24"/>
        </w:rPr>
        <w:t xml:space="preserve"> for strict liability based on design defect. Is </w:t>
      </w:r>
      <w:proofErr w:type="spellStart"/>
      <w:r w:rsidRPr="00761453">
        <w:rPr>
          <w:rFonts w:ascii="Times New Roman" w:hAnsi="Times New Roman" w:cs="Times New Roman"/>
          <w:sz w:val="24"/>
        </w:rPr>
        <w:t>Senco</w:t>
      </w:r>
      <w:proofErr w:type="spellEnd"/>
      <w:r w:rsidRPr="00761453">
        <w:rPr>
          <w:rFonts w:ascii="Times New Roman" w:hAnsi="Times New Roman" w:cs="Times New Roman"/>
          <w:sz w:val="24"/>
        </w:rPr>
        <w:t xml:space="preserve"> liable to </w:t>
      </w:r>
      <w:proofErr w:type="spellStart"/>
      <w:r w:rsidRPr="00761453">
        <w:rPr>
          <w:rFonts w:ascii="Times New Roman" w:hAnsi="Times New Roman" w:cs="Times New Roman"/>
          <w:sz w:val="24"/>
        </w:rPr>
        <w:t>Lakin</w:t>
      </w:r>
      <w:proofErr w:type="spellEnd"/>
      <w:r w:rsidRPr="00761453">
        <w:rPr>
          <w:rFonts w:ascii="Times New Roman" w:hAnsi="Times New Roman" w:cs="Times New Roman"/>
          <w:sz w:val="24"/>
        </w:rPr>
        <w:t xml:space="preserve"> for strict liability based on a design defect in the SN325 that allowed it to double-fire? </w:t>
      </w:r>
      <w:proofErr w:type="spellStart"/>
      <w:r w:rsidRPr="00761453">
        <w:rPr>
          <w:rFonts w:ascii="Times New Roman" w:hAnsi="Times New Roman" w:cs="Times New Roman"/>
          <w:i/>
          <w:iCs/>
          <w:sz w:val="24"/>
        </w:rPr>
        <w:t>Lakin</w:t>
      </w:r>
      <w:proofErr w:type="spellEnd"/>
      <w:r w:rsidRPr="00761453">
        <w:rPr>
          <w:rFonts w:ascii="Times New Roman" w:hAnsi="Times New Roman" w:cs="Times New Roman"/>
          <w:i/>
          <w:iCs/>
          <w:sz w:val="24"/>
        </w:rPr>
        <w:t xml:space="preserve"> v. </w:t>
      </w:r>
      <w:proofErr w:type="spellStart"/>
      <w:r w:rsidRPr="00761453">
        <w:rPr>
          <w:rFonts w:ascii="Times New Roman" w:hAnsi="Times New Roman" w:cs="Times New Roman"/>
          <w:i/>
          <w:iCs/>
          <w:sz w:val="24"/>
        </w:rPr>
        <w:t>Senco</w:t>
      </w:r>
      <w:proofErr w:type="spellEnd"/>
      <w:r w:rsidRPr="00761453">
        <w:rPr>
          <w:rFonts w:ascii="Times New Roman" w:hAnsi="Times New Roman" w:cs="Times New Roman"/>
          <w:i/>
          <w:iCs/>
          <w:sz w:val="24"/>
        </w:rPr>
        <w:t xml:space="preserve"> Products, Inc.</w:t>
      </w:r>
      <w:r w:rsidRPr="00761453">
        <w:rPr>
          <w:rFonts w:ascii="Times New Roman" w:hAnsi="Times New Roman" w:cs="Times New Roman"/>
          <w:sz w:val="24"/>
        </w:rPr>
        <w:t xml:space="preserve">, 144 </w:t>
      </w:r>
      <w:proofErr w:type="spellStart"/>
      <w:r w:rsidRPr="00761453">
        <w:rPr>
          <w:rFonts w:ascii="Times New Roman" w:hAnsi="Times New Roman" w:cs="Times New Roman"/>
          <w:sz w:val="24"/>
        </w:rPr>
        <w:t>Ore.App</w:t>
      </w:r>
      <w:proofErr w:type="spellEnd"/>
      <w:r w:rsidRPr="00761453">
        <w:rPr>
          <w:rFonts w:ascii="Times New Roman" w:hAnsi="Times New Roman" w:cs="Times New Roman"/>
          <w:sz w:val="24"/>
        </w:rPr>
        <w:t>. 52, 925 P.2d 107, </w:t>
      </w:r>
      <w:r w:rsidRPr="00761453">
        <w:rPr>
          <w:rFonts w:ascii="Times New Roman" w:hAnsi="Times New Roman" w:cs="Times New Roman"/>
          <w:b/>
          <w:bCs/>
          <w:sz w:val="24"/>
        </w:rPr>
        <w:t>Web</w:t>
      </w:r>
      <w:r w:rsidRPr="00761453">
        <w:rPr>
          <w:rFonts w:ascii="Times New Roman" w:hAnsi="Times New Roman" w:cs="Times New Roman"/>
          <w:sz w:val="24"/>
        </w:rPr>
        <w:t> 1996 Ore. App. Lexis 1466 (Court of Appeals of Oregon)</w:t>
      </w:r>
    </w:p>
    <w:p w:rsidR="00761453" w:rsidRDefault="00761453">
      <w:pPr>
        <w:rPr>
          <w:rFonts w:ascii="Times New Roman" w:hAnsi="Times New Roman" w:cs="Times New Roman"/>
          <w:sz w:val="24"/>
        </w:rPr>
      </w:pPr>
    </w:p>
    <w:p w:rsidR="00761453" w:rsidRDefault="00761453" w:rsidP="00761453">
      <w:pPr>
        <w:pStyle w:val="NormalWeb"/>
        <w:shd w:val="clear" w:color="auto" w:fill="FFFFFF"/>
        <w:spacing w:before="240" w:beforeAutospacing="0" w:after="240" w:afterAutospacing="0" w:line="270" w:lineRule="atLeast"/>
        <w:rPr>
          <w:rFonts w:ascii="Arial" w:hAnsi="Arial" w:cs="Arial"/>
          <w:color w:val="000000"/>
        </w:rPr>
      </w:pPr>
      <w:r>
        <w:rPr>
          <w:rFonts w:ascii="Arial" w:hAnsi="Arial" w:cs="Arial"/>
          <w:color w:val="000000"/>
        </w:rPr>
        <w:t>Your responses should be well-rounded and analytical, and should not just provide a conclusion or an opinion without explaining the reason for the choice.</w:t>
      </w:r>
    </w:p>
    <w:p w:rsidR="00761453" w:rsidRDefault="00761453" w:rsidP="00761453">
      <w:pPr>
        <w:pStyle w:val="NormalWeb"/>
        <w:shd w:val="clear" w:color="auto" w:fill="FFFFFF"/>
        <w:spacing w:before="240" w:beforeAutospacing="0" w:after="240" w:afterAutospacing="0" w:line="270" w:lineRule="atLeast"/>
        <w:rPr>
          <w:rFonts w:ascii="Arial" w:hAnsi="Arial" w:cs="Arial"/>
          <w:color w:val="000000"/>
        </w:rPr>
      </w:pPr>
      <w:r>
        <w:rPr>
          <w:rFonts w:ascii="Arial" w:hAnsi="Arial" w:cs="Arial"/>
          <w:color w:val="000000"/>
        </w:rPr>
        <w:t>For full credit, you need to use the material from the week's lectures, text, and/or discussions when responding to the questions. It is important that you incorporate the question into your response (i.e., restate the question in your introduction) and explain the legal principle(s) or concept(s) from the text that underlies your judgment.</w:t>
      </w:r>
    </w:p>
    <w:p w:rsidR="00761453" w:rsidRDefault="00761453" w:rsidP="00761453">
      <w:pPr>
        <w:pStyle w:val="NormalWeb"/>
        <w:shd w:val="clear" w:color="auto" w:fill="FFFFFF"/>
        <w:spacing w:before="240" w:beforeAutospacing="0" w:after="240" w:afterAutospacing="0" w:line="270" w:lineRule="atLeast"/>
        <w:rPr>
          <w:rFonts w:ascii="Arial" w:hAnsi="Arial" w:cs="Arial"/>
          <w:color w:val="000000"/>
        </w:rPr>
      </w:pPr>
      <w:r>
        <w:rPr>
          <w:rFonts w:ascii="Arial" w:hAnsi="Arial" w:cs="Arial"/>
          <w:color w:val="000000"/>
        </w:rPr>
        <w:t>For each question, you should provide at least one reference in APA format (in-text citations and references as described in detail in the Syllabus). Each answer should be double-spaced in 12-point font, and your response to each question should be between 300 and 1,000 words in length.</w:t>
      </w:r>
    </w:p>
    <w:p w:rsidR="00761453" w:rsidRPr="00761453" w:rsidRDefault="00761453">
      <w:pPr>
        <w:rPr>
          <w:rFonts w:ascii="Times New Roman" w:hAnsi="Times New Roman" w:cs="Times New Roman"/>
          <w:sz w:val="24"/>
        </w:rPr>
      </w:pPr>
      <w:bookmarkStart w:id="0" w:name="_GoBack"/>
      <w:bookmarkEnd w:id="0"/>
    </w:p>
    <w:sectPr w:rsidR="00761453" w:rsidRPr="007614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1453"/>
    <w:rsid w:val="00126773"/>
    <w:rsid w:val="002D3E81"/>
    <w:rsid w:val="00761453"/>
    <w:rsid w:val="00BC75D2"/>
    <w:rsid w:val="00D806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8D570"/>
  <w15:chartTrackingRefBased/>
  <w15:docId w15:val="{92D8FD38-6423-402F-8565-29C13CC69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6145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6870614">
      <w:bodyDiv w:val="1"/>
      <w:marLeft w:val="0"/>
      <w:marRight w:val="0"/>
      <w:marTop w:val="0"/>
      <w:marBottom w:val="0"/>
      <w:divBdr>
        <w:top w:val="none" w:sz="0" w:space="0" w:color="auto"/>
        <w:left w:val="none" w:sz="0" w:space="0" w:color="auto"/>
        <w:bottom w:val="none" w:sz="0" w:space="0" w:color="auto"/>
        <w:right w:val="none" w:sz="0" w:space="0" w:color="auto"/>
      </w:divBdr>
    </w:div>
    <w:div w:id="2095397616">
      <w:bodyDiv w:val="1"/>
      <w:marLeft w:val="0"/>
      <w:marRight w:val="0"/>
      <w:marTop w:val="0"/>
      <w:marBottom w:val="0"/>
      <w:divBdr>
        <w:top w:val="none" w:sz="0" w:space="0" w:color="auto"/>
        <w:left w:val="none" w:sz="0" w:space="0" w:color="auto"/>
        <w:bottom w:val="none" w:sz="0" w:space="0" w:color="auto"/>
        <w:right w:val="none" w:sz="0" w:space="0" w:color="auto"/>
      </w:divBdr>
      <w:divsChild>
        <w:div w:id="1632201121">
          <w:marLeft w:val="0"/>
          <w:marRight w:val="0"/>
          <w:marTop w:val="0"/>
          <w:marBottom w:val="0"/>
          <w:divBdr>
            <w:top w:val="none" w:sz="0" w:space="0" w:color="auto"/>
            <w:left w:val="none" w:sz="0" w:space="0" w:color="auto"/>
            <w:bottom w:val="none" w:sz="0" w:space="0" w:color="auto"/>
            <w:right w:val="none" w:sz="0" w:space="0" w:color="auto"/>
          </w:divBdr>
        </w:div>
      </w:divsChild>
    </w:div>
    <w:div w:id="2140411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1115</Words>
  <Characters>6356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Ify Ogwu</dc:creator>
  <cp:keywords/>
  <dc:description/>
  <cp:lastModifiedBy>Ify Ogwu</cp:lastModifiedBy>
  <cp:revision>1</cp:revision>
  <dcterms:created xsi:type="dcterms:W3CDTF">2017-05-12T01:31:00Z</dcterms:created>
  <dcterms:modified xsi:type="dcterms:W3CDTF">2017-05-12T01:40:00Z</dcterms:modified>
</cp:coreProperties>
</file>